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0FC8C" w14:textId="77777777" w:rsidR="00AD28EE" w:rsidRDefault="00AD28EE">
      <w:pPr>
        <w:rPr>
          <w:rFonts w:ascii="黑体" w:eastAsia="黑体" w:hAnsi="黑体" w:hint="eastAsia"/>
          <w:sz w:val="32"/>
          <w:szCs w:val="32"/>
        </w:rPr>
      </w:pPr>
    </w:p>
    <w:p w14:paraId="5C158437" w14:textId="77777777" w:rsidR="00AD28EE" w:rsidRDefault="00AD28EE">
      <w:pPr>
        <w:jc w:val="center"/>
        <w:rPr>
          <w:rFonts w:ascii="方正小标宋_GBK" w:eastAsia="方正小标宋_GBK" w:hAnsi="宋体" w:hint="eastAsia"/>
          <w:sz w:val="44"/>
          <w:szCs w:val="44"/>
        </w:rPr>
      </w:pPr>
    </w:p>
    <w:p w14:paraId="407E0779"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木垒哈萨克自治县地震台</w:t>
      </w:r>
    </w:p>
    <w:p w14:paraId="3DF19076"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73FE118" w14:textId="77777777" w:rsidR="00AD28E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8AB5AF0" w14:textId="77777777" w:rsidR="00AD28E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0CCA7E5" w14:textId="77777777" w:rsidR="00AD28E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651B597" w14:textId="77777777" w:rsidR="00AD28E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7B01A93"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9F86680"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8101F5" w14:textId="77777777" w:rsidR="00AD28EE"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534FC75"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C5CFEC"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BC66C26"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62FB85C"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FC070FF"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4BBBCBC"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1442076"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D9E1022"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DDA3D8" w14:textId="77777777" w:rsidR="00AD28EE"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E377D9"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79ACA1" w14:textId="77777777" w:rsidR="00AD28E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BE06C6F" w14:textId="77777777" w:rsidR="00AD28E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BACD742" w14:textId="77777777" w:rsidR="00AD28E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CADF42"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E3D07A"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BC1A891" w14:textId="77777777" w:rsidR="00AD28EE"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F6CB11F" w14:textId="77777777" w:rsidR="00AD28EE"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7D3C20F"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C8A473"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5991F0"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C408CF0"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6BAA7B"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477FB9D"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9FC8216" w14:textId="77777777" w:rsidR="00AD28E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7176DD7" w14:textId="77777777" w:rsidR="00AD28E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8DDC7DE" w14:textId="77777777" w:rsidR="00AD28E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F4965BE" w14:textId="77777777" w:rsidR="00AD28EE" w:rsidRDefault="00000000">
      <w:r>
        <w:rPr>
          <w:rFonts w:ascii="仿宋_GB2312" w:eastAsia="仿宋_GB2312" w:hAnsi="仿宋_GB2312" w:cs="仿宋_GB2312" w:hint="eastAsia"/>
          <w:sz w:val="32"/>
          <w:szCs w:val="32"/>
        </w:rPr>
        <w:fldChar w:fldCharType="end"/>
      </w:r>
    </w:p>
    <w:p w14:paraId="4DD0F88C" w14:textId="77777777" w:rsidR="00AD28EE" w:rsidRDefault="00000000">
      <w:pPr>
        <w:rPr>
          <w:rFonts w:ascii="仿宋_GB2312" w:eastAsia="仿宋_GB2312"/>
          <w:sz w:val="32"/>
          <w:szCs w:val="32"/>
        </w:rPr>
      </w:pPr>
      <w:r>
        <w:rPr>
          <w:rFonts w:ascii="仿宋_GB2312" w:eastAsia="仿宋_GB2312" w:hint="eastAsia"/>
          <w:sz w:val="32"/>
          <w:szCs w:val="32"/>
        </w:rPr>
        <w:br w:type="page"/>
      </w:r>
    </w:p>
    <w:p w14:paraId="64DBFA7C" w14:textId="77777777" w:rsidR="00AD28E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662548E7" w14:textId="77777777" w:rsidR="00AD28E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F6AA84D"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木垒哈萨克自治县地震台主要职能：</w:t>
      </w:r>
    </w:p>
    <w:p w14:paraId="79C7586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14:paraId="6F975DBA" w14:textId="77777777" w:rsidR="00AD28E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CF3A195" w14:textId="77777777" w:rsidR="00AD28E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木垒哈萨克自治县地震台2023年度，实有人数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498A9217" w14:textId="77777777" w:rsidR="00AD28EE" w:rsidRDefault="00000000">
      <w:pPr>
        <w:ind w:firstLineChars="200" w:firstLine="640"/>
        <w:rPr>
          <w:rFonts w:ascii="仿宋_GB2312" w:eastAsia="仿宋_GB2312"/>
          <w:sz w:val="32"/>
          <w:szCs w:val="32"/>
        </w:rPr>
        <w:sectPr w:rsidR="00AD28E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cs="仿宋_GB2312" w:hint="eastAsia"/>
          <w:kern w:val="0"/>
          <w:sz w:val="32"/>
          <w:szCs w:val="32"/>
          <w:lang w:val="zh-CN"/>
        </w:rPr>
        <w:t>财务室、办公室、监测室</w:t>
      </w:r>
      <w:r>
        <w:rPr>
          <w:rFonts w:ascii="仿宋_GB2312" w:eastAsia="仿宋_GB2312" w:hAnsi="宋体" w:cs="宋体" w:hint="eastAsia"/>
          <w:kern w:val="0"/>
          <w:sz w:val="32"/>
          <w:szCs w:val="32"/>
        </w:rPr>
        <w:t>。</w:t>
      </w:r>
    </w:p>
    <w:p w14:paraId="641368B3" w14:textId="77777777" w:rsidR="00AD28E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7A48DE4" w14:textId="77777777" w:rsidR="00AD28E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EE44F20"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2023年度收入总计103.77万元，其中：本年收入合计103.77万元，使用非财政拨款结余0.00万元，年初结转和结余0.00万元。</w:t>
      </w:r>
    </w:p>
    <w:p w14:paraId="77BC5CA8"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2023年度支出总计103.77万元，其中：本年支出合计103.77万元，结余分配0.00万元，年末结转和结余0.00万元。</w:t>
      </w:r>
    </w:p>
    <w:p w14:paraId="103B97AA"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w:t>
      </w:r>
    </w:p>
    <w:p w14:paraId="59360755" w14:textId="77777777" w:rsidR="00AD28E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C43906"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本年收入103.77万元，其中：财政拨款收入</w:t>
      </w:r>
      <w:r>
        <w:rPr>
          <w:rFonts w:ascii="仿宋_GB2312" w:eastAsia="仿宋_GB2312" w:hint="eastAsia"/>
          <w:sz w:val="32"/>
          <w:szCs w:val="32"/>
          <w:lang w:val="zh-CN"/>
        </w:rPr>
        <w:t>103.77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ACC594B" w14:textId="77777777" w:rsidR="00AD28EE"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C8A825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本年支出103.77万元，其中：基本支出103.77万元，占100.00%；项目支出0.00万元，占0.00%；上缴上级支出0.00万元，占0.00%；经营支出0.00万元，占0.00%；对附属单位补助支出0.00万元，占0.00%。</w:t>
      </w:r>
    </w:p>
    <w:p w14:paraId="28B71342" w14:textId="77777777" w:rsidR="00AD28E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26A81AD"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103.77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103.77</w:t>
      </w:r>
      <w:r>
        <w:rPr>
          <w:rFonts w:ascii="仿宋_GB2312" w:eastAsia="仿宋_GB2312" w:hint="eastAsia"/>
          <w:sz w:val="32"/>
          <w:szCs w:val="32"/>
        </w:rPr>
        <w:t>万元。财政拨款支出总计</w:t>
      </w:r>
      <w:r>
        <w:rPr>
          <w:rFonts w:ascii="仿宋_GB2312" w:eastAsia="仿宋_GB2312" w:hint="eastAsia"/>
          <w:sz w:val="32"/>
          <w:szCs w:val="32"/>
          <w:lang w:val="zh-CN"/>
        </w:rPr>
        <w:t>103.77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103.77</w:t>
      </w:r>
      <w:r>
        <w:rPr>
          <w:rFonts w:ascii="仿宋_GB2312" w:eastAsia="仿宋_GB2312" w:hint="eastAsia"/>
          <w:sz w:val="32"/>
          <w:szCs w:val="32"/>
        </w:rPr>
        <w:t>万元。</w:t>
      </w:r>
    </w:p>
    <w:p w14:paraId="1AFD9441"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万元，预决算差异率9.49%，主要原因是：年中追加采暖费及独生子女奖励金。</w:t>
      </w:r>
    </w:p>
    <w:p w14:paraId="0D2D4341" w14:textId="77777777" w:rsidR="00AD28E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C79CC96" w14:textId="77777777" w:rsidR="00AD28E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7AA6446" w14:textId="77777777" w:rsidR="00AD28E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2023年度一般公共预算财政拨款支出103.77万元，占本年支出合计的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增加12.42万元</w:t>
      </w:r>
      <w:r>
        <w:rPr>
          <w:rFonts w:ascii="仿宋_GB2312" w:eastAsia="仿宋_GB2312" w:hint="eastAsia"/>
          <w:sz w:val="32"/>
          <w:szCs w:val="32"/>
        </w:rPr>
        <w:t>，增长13.60%,主要原因是：工资调标准、社保、公积金调整基数。与年初预算相比，年初预算数</w:t>
      </w:r>
      <w:r>
        <w:rPr>
          <w:rFonts w:ascii="仿宋_GB2312" w:eastAsia="仿宋_GB2312" w:hint="eastAsia"/>
          <w:sz w:val="32"/>
          <w:szCs w:val="32"/>
          <w:lang w:val="zh-CN"/>
        </w:rPr>
        <w:t>94.78</w:t>
      </w:r>
      <w:r>
        <w:rPr>
          <w:rFonts w:ascii="仿宋_GB2312" w:eastAsia="仿宋_GB2312" w:hint="eastAsia"/>
          <w:sz w:val="32"/>
          <w:szCs w:val="32"/>
        </w:rPr>
        <w:t>万元，决算数</w:t>
      </w:r>
      <w:r>
        <w:rPr>
          <w:rFonts w:ascii="仿宋_GB2312" w:eastAsia="仿宋_GB2312" w:hint="eastAsia"/>
          <w:sz w:val="32"/>
          <w:szCs w:val="32"/>
          <w:lang w:val="zh-CN"/>
        </w:rPr>
        <w:t>103.77</w:t>
      </w:r>
      <w:r>
        <w:rPr>
          <w:rFonts w:ascii="仿宋_GB2312" w:eastAsia="仿宋_GB2312" w:hint="eastAsia"/>
          <w:sz w:val="32"/>
          <w:szCs w:val="32"/>
        </w:rPr>
        <w:t>万元，预决算差异率</w:t>
      </w:r>
      <w:r>
        <w:rPr>
          <w:rFonts w:ascii="仿宋_GB2312" w:eastAsia="仿宋_GB2312" w:hint="eastAsia"/>
          <w:sz w:val="32"/>
          <w:szCs w:val="32"/>
          <w:lang w:val="zh-CN"/>
        </w:rPr>
        <w:t>9.49%</w:t>
      </w:r>
      <w:r>
        <w:rPr>
          <w:rFonts w:ascii="仿宋_GB2312" w:eastAsia="仿宋_GB2312" w:hint="eastAsia"/>
          <w:sz w:val="32"/>
          <w:szCs w:val="32"/>
        </w:rPr>
        <w:t>，主要原因是：年中追加采暖费及独生子女奖励金。</w:t>
      </w:r>
    </w:p>
    <w:p w14:paraId="2ED57360" w14:textId="77777777" w:rsidR="00AD28E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B7E837"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11.08</w:t>
      </w:r>
      <w:r>
        <w:rPr>
          <w:rFonts w:ascii="仿宋_GB2312" w:eastAsia="仿宋_GB2312"/>
          <w:kern w:val="2"/>
          <w:sz w:val="32"/>
          <w:szCs w:val="32"/>
          <w:lang w:val="zh-CN"/>
        </w:rPr>
        <w:t>万元，占</w:t>
      </w:r>
      <w:r>
        <w:rPr>
          <w:rFonts w:ascii="仿宋_GB2312" w:eastAsia="仿宋_GB2312" w:hint="eastAsia"/>
          <w:kern w:val="2"/>
          <w:sz w:val="32"/>
          <w:szCs w:val="32"/>
          <w:lang w:val="zh-CN"/>
        </w:rPr>
        <w:t>10.68</w:t>
      </w:r>
      <w:r>
        <w:rPr>
          <w:rFonts w:ascii="仿宋_GB2312" w:eastAsia="仿宋_GB2312"/>
          <w:kern w:val="2"/>
          <w:sz w:val="32"/>
          <w:szCs w:val="32"/>
          <w:lang w:val="zh-CN"/>
        </w:rPr>
        <w:t>%；</w:t>
      </w:r>
    </w:p>
    <w:p w14:paraId="2354649E"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6.79</w:t>
      </w:r>
      <w:r>
        <w:rPr>
          <w:rFonts w:ascii="仿宋_GB2312" w:eastAsia="仿宋_GB2312"/>
          <w:kern w:val="2"/>
          <w:sz w:val="32"/>
          <w:szCs w:val="32"/>
          <w:lang w:val="zh-CN"/>
        </w:rPr>
        <w:t>万元，占</w:t>
      </w:r>
      <w:r>
        <w:rPr>
          <w:rFonts w:ascii="仿宋_GB2312" w:eastAsia="仿宋_GB2312" w:hint="eastAsia"/>
          <w:kern w:val="2"/>
          <w:sz w:val="32"/>
          <w:szCs w:val="32"/>
          <w:lang w:val="zh-CN"/>
        </w:rPr>
        <w:t>6.54</w:t>
      </w:r>
      <w:r>
        <w:rPr>
          <w:rFonts w:ascii="仿宋_GB2312" w:eastAsia="仿宋_GB2312"/>
          <w:kern w:val="2"/>
          <w:sz w:val="32"/>
          <w:szCs w:val="32"/>
          <w:lang w:val="zh-CN"/>
        </w:rPr>
        <w:t>%；</w:t>
      </w:r>
    </w:p>
    <w:p w14:paraId="77A4C4AE" w14:textId="77777777" w:rsidR="00AD28E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85.91</w:t>
      </w:r>
      <w:r>
        <w:rPr>
          <w:rFonts w:ascii="仿宋_GB2312" w:eastAsia="仿宋_GB2312"/>
          <w:kern w:val="2"/>
          <w:sz w:val="32"/>
          <w:szCs w:val="32"/>
          <w:lang w:val="zh-CN"/>
        </w:rPr>
        <w:t>万元，占</w:t>
      </w:r>
      <w:r>
        <w:rPr>
          <w:rFonts w:ascii="仿宋_GB2312" w:eastAsia="仿宋_GB2312" w:hint="eastAsia"/>
          <w:kern w:val="2"/>
          <w:sz w:val="32"/>
          <w:szCs w:val="32"/>
          <w:lang w:val="zh-CN"/>
        </w:rPr>
        <w:t>82.78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71A4BC3" w14:textId="77777777" w:rsidR="00AD28E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6D937C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1.灾害防治及应急管理支出（类）地震事务（款）地震监测（项）:支出决算数为0.36万元，比上年决算增加0.00万元，增长0.00%，主要原因是：与上年对比无差异。</w:t>
      </w:r>
    </w:p>
    <w:p w14:paraId="263CBEA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2.住房保障支出（类）住房改革支出（款）住房公积金（项）:支出决算数为6.79万元，比上年决算增加0.27万元，增长4.16%，主要原因是：工资调资相应公积金缴费增加。</w:t>
      </w:r>
    </w:p>
    <w:p w14:paraId="036A0653"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3.社会保障和就业支出（类）抚恤（款）死亡抚恤（项）:支出决算数为0.79万元，比上年决算增加0.00万元，增长0.00%，主要原因是：与上年对比无差异。</w:t>
      </w:r>
    </w:p>
    <w:p w14:paraId="15815DD8"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4.灾害防治及应急管理支出（类）地震事务（款）地震事业机构（项）:支出决算数为85.55万元，比上年决算增加13.71万元，增长19.08%，主要原因是：本年单位工资调标准，相应基本工资、奖金增加。</w:t>
      </w:r>
    </w:p>
    <w:p w14:paraId="1EF9EA15"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5.社会保障和就业支出（类）行政事业单位养老支出（款）事业单位离退休（项）:支出决算数为1.33万元，比上年决算增加1.33万元，增长100%，主要原因是：增加退休人员采暖费及独生子女奖励金。</w:t>
      </w:r>
    </w:p>
    <w:p w14:paraId="7495ED76"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8.96万元，比上年决算减少0.20万元，下降2.14%，主要原因是：本年单位社保经费预算财政未拨付到位，因此</w:t>
      </w:r>
      <w:r>
        <w:rPr>
          <w:rFonts w:ascii="仿宋_GB2312" w:eastAsia="仿宋_GB2312" w:hint="eastAsia"/>
          <w:sz w:val="32"/>
          <w:szCs w:val="32"/>
        </w:rPr>
        <w:lastRenderedPageBreak/>
        <w:t>造成支出减少。</w:t>
      </w:r>
    </w:p>
    <w:p w14:paraId="36C3ACCC"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7.社会保障和就业支出（类）行政事业单位养老支出（款）行政单位离退休（项）:支出决算数为0.00万元，比上年决算减少0.58万元，下降100%，主要原因是：单位本年无此项经费。</w:t>
      </w:r>
    </w:p>
    <w:p w14:paraId="0BC8DB5D"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8.灾害防治及应急管理支出（类）地震事务（款）防震减灾基础管理（项）:支出决算数为0.00万元，比上年决算减少2.11万元，下降100%，主要原因是：单位本年无此项经费。</w:t>
      </w:r>
    </w:p>
    <w:p w14:paraId="33943CAD"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8E89409"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14:paraId="6D83F947"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公用经费11.33万元，包括：办公费、电费、邮电费、取暖费、差旅费、维修（护）费、租赁费、劳务费、办公设备购置。</w:t>
      </w:r>
    </w:p>
    <w:p w14:paraId="7AFF1B17"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BF3CC4"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；公务用车购置及运行维护费支出0.00万元，占0.00%，比上年减少0.20万元，</w:t>
      </w:r>
      <w:r>
        <w:rPr>
          <w:rFonts w:ascii="仿宋_GB2312" w:eastAsia="仿宋_GB2312" w:hint="eastAsia"/>
          <w:sz w:val="32"/>
          <w:szCs w:val="32"/>
        </w:rPr>
        <w:t>下降100.00%,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6E8AE4F8"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17F0005"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0309874"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原因是：车辆在其他单位使用。</w:t>
      </w:r>
    </w:p>
    <w:p w14:paraId="435595C6"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55F9B88" w14:textId="77777777" w:rsidR="00AD28E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7FDE78A2" w14:textId="77777777" w:rsidR="00AD28E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4C6E2F4"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CFD671C" w14:textId="77777777" w:rsidR="00AD28E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69670E"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6A33B4F" w14:textId="77777777" w:rsidR="00AD28E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F271A85" w14:textId="77777777" w:rsidR="00AD28EE"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A312B79" w14:textId="77777777" w:rsidR="00AD28EE"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2023年度木垒哈萨克自治县地震台（行政单位和参照公务员法管理事业单位）机关运行经费支出11.33万元，比上年增加8.21万元，增长263.14%，主要原因是：本年单位取暖费、租赁费、劳务费增加。</w:t>
      </w:r>
    </w:p>
    <w:p w14:paraId="1B5D7B8E" w14:textId="77777777" w:rsidR="00AD28E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C59ABB5"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2023年度政府采购支出总额10.12万元，其中：政府采购货物支出3.14万元、政府采购工程支出6.98万元、政府采购服务支出0.00万元。</w:t>
      </w:r>
    </w:p>
    <w:p w14:paraId="471D36A4"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授予中小企业合同金额10.12万元，占政府采购支出总额的100.00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，其中：授予小微企业合同金额10.12万元，占政府采购支出总额的100.00</w:t>
      </w:r>
      <w:r>
        <w:rPr>
          <w:rFonts w:ascii="仿宋_GB2312" w:eastAsia="仿宋_GB2312"/>
          <w:sz w:val="32"/>
          <w:szCs w:val="32"/>
        </w:rPr>
        <w:t>%</w:t>
      </w:r>
      <w:r>
        <w:rPr>
          <w:rFonts w:ascii="仿宋_GB2312" w:eastAsia="仿宋_GB2312" w:hint="eastAsia"/>
          <w:sz w:val="32"/>
          <w:szCs w:val="32"/>
        </w:rPr>
        <w:t>。</w:t>
      </w:r>
    </w:p>
    <w:p w14:paraId="46C5FD08" w14:textId="77777777" w:rsidR="00AD28EE"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488F260"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4C717E2" w14:textId="77777777" w:rsidR="00AD28E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4EBE5C2" w14:textId="77777777" w:rsidR="00AD28E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103.77</w:t>
      </w:r>
      <w:r>
        <w:rPr>
          <w:rFonts w:ascii="仿宋_GB2312" w:eastAsia="仿宋_GB2312" w:hint="eastAsia"/>
          <w:sz w:val="32"/>
          <w:szCs w:val="32"/>
        </w:rPr>
        <w:t>万元，实际执行总额</w:t>
      </w:r>
      <w:r>
        <w:rPr>
          <w:rFonts w:ascii="仿宋_GB2312" w:eastAsia="仿宋_GB2312"/>
          <w:sz w:val="32"/>
          <w:szCs w:val="32"/>
        </w:rPr>
        <w:t>103.77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w:t>
      </w:r>
      <w:r>
        <w:rPr>
          <w:rFonts w:ascii="仿宋_GB2312" w:eastAsia="仿宋_GB2312" w:hint="eastAsia"/>
          <w:sz w:val="32"/>
          <w:szCs w:val="32"/>
        </w:rPr>
        <w:lastRenderedPageBreak/>
        <w:t>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7"/>
        <w:gridCol w:w="1316"/>
        <w:gridCol w:w="1300"/>
        <w:gridCol w:w="1265"/>
        <w:gridCol w:w="1040"/>
        <w:gridCol w:w="767"/>
        <w:gridCol w:w="441"/>
      </w:tblGrid>
      <w:tr w:rsidR="00AD28EE" w14:paraId="741EED06" w14:textId="77777777">
        <w:trPr>
          <w:trHeight w:val="522"/>
        </w:trPr>
        <w:tc>
          <w:tcPr>
            <w:tcW w:w="5000" w:type="pct"/>
            <w:gridSpan w:val="8"/>
            <w:shd w:val="clear" w:color="auto" w:fill="auto"/>
            <w:noWrap/>
            <w:vAlign w:val="center"/>
          </w:tcPr>
          <w:p w14:paraId="48DA273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AD28EE" w14:paraId="52737105" w14:textId="77777777">
        <w:trPr>
          <w:trHeight w:val="360"/>
        </w:trPr>
        <w:tc>
          <w:tcPr>
            <w:tcW w:w="5000" w:type="pct"/>
            <w:gridSpan w:val="8"/>
            <w:shd w:val="clear" w:color="auto" w:fill="auto"/>
            <w:noWrap/>
            <w:vAlign w:val="center"/>
          </w:tcPr>
          <w:p w14:paraId="6177F80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AD28EE" w14:paraId="420619BF" w14:textId="77777777">
        <w:trPr>
          <w:trHeight w:val="660"/>
        </w:trPr>
        <w:tc>
          <w:tcPr>
            <w:tcW w:w="690" w:type="pct"/>
            <w:shd w:val="clear" w:color="auto" w:fill="auto"/>
            <w:noWrap/>
            <w:vAlign w:val="center"/>
          </w:tcPr>
          <w:p w14:paraId="31C3C16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309" w:type="pct"/>
            <w:gridSpan w:val="7"/>
            <w:shd w:val="clear" w:color="auto" w:fill="auto"/>
            <w:noWrap/>
            <w:vAlign w:val="center"/>
          </w:tcPr>
          <w:p w14:paraId="3DDF7E8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木垒哈萨克自治县地震台</w:t>
            </w:r>
          </w:p>
        </w:tc>
      </w:tr>
      <w:tr w:rsidR="00AD28EE" w14:paraId="4205B625" w14:textId="77777777">
        <w:trPr>
          <w:trHeight w:val="570"/>
        </w:trPr>
        <w:tc>
          <w:tcPr>
            <w:tcW w:w="690" w:type="pct"/>
            <w:vMerge w:val="restart"/>
            <w:shd w:val="clear" w:color="auto" w:fill="auto"/>
            <w:vAlign w:val="center"/>
          </w:tcPr>
          <w:p w14:paraId="7F16954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14" w:type="pct"/>
            <w:shd w:val="clear" w:color="auto" w:fill="auto"/>
            <w:vAlign w:val="center"/>
          </w:tcPr>
          <w:p w14:paraId="20694C9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72" w:type="pct"/>
            <w:shd w:val="clear" w:color="auto" w:fill="auto"/>
            <w:vAlign w:val="center"/>
          </w:tcPr>
          <w:p w14:paraId="02ABEC2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62" w:type="pct"/>
            <w:shd w:val="clear" w:color="auto" w:fill="auto"/>
            <w:vAlign w:val="center"/>
          </w:tcPr>
          <w:p w14:paraId="188EC5C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2" w:type="pct"/>
            <w:shd w:val="clear" w:color="auto" w:fill="auto"/>
            <w:vAlign w:val="center"/>
          </w:tcPr>
          <w:p w14:paraId="3846D6B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610" w:type="pct"/>
            <w:shd w:val="clear" w:color="auto" w:fill="auto"/>
            <w:vAlign w:val="center"/>
          </w:tcPr>
          <w:p w14:paraId="10A8E0E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39C912B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56" w:type="pct"/>
            <w:shd w:val="clear" w:color="auto" w:fill="auto"/>
            <w:vAlign w:val="center"/>
          </w:tcPr>
          <w:p w14:paraId="71E0395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AD28EE" w14:paraId="783C8563" w14:textId="77777777">
        <w:trPr>
          <w:trHeight w:val="882"/>
        </w:trPr>
        <w:tc>
          <w:tcPr>
            <w:tcW w:w="690" w:type="pct"/>
            <w:vMerge/>
            <w:vAlign w:val="center"/>
          </w:tcPr>
          <w:p w14:paraId="702991F7" w14:textId="77777777" w:rsidR="00AD28EE" w:rsidRDefault="00AD28EE">
            <w:pPr>
              <w:widowControl/>
              <w:jc w:val="left"/>
              <w:rPr>
                <w:rFonts w:ascii="宋体" w:hAnsi="宋体" w:cs="宋体" w:hint="eastAsia"/>
                <w:kern w:val="0"/>
                <w:sz w:val="20"/>
                <w:szCs w:val="20"/>
              </w:rPr>
            </w:pPr>
          </w:p>
        </w:tc>
        <w:tc>
          <w:tcPr>
            <w:tcW w:w="714" w:type="pct"/>
            <w:shd w:val="clear" w:color="auto" w:fill="auto"/>
            <w:noWrap/>
            <w:vAlign w:val="center"/>
          </w:tcPr>
          <w:p w14:paraId="05D1997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72" w:type="pct"/>
            <w:shd w:val="clear" w:color="auto" w:fill="auto"/>
            <w:vAlign w:val="center"/>
          </w:tcPr>
          <w:p w14:paraId="54F9DB2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1058337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22BC2C9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280738B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vAlign w:val="center"/>
          </w:tcPr>
          <w:p w14:paraId="3818274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vAlign w:val="center"/>
          </w:tcPr>
          <w:p w14:paraId="11A8150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AD28EE" w14:paraId="40E5533E" w14:textId="77777777">
        <w:trPr>
          <w:trHeight w:val="882"/>
        </w:trPr>
        <w:tc>
          <w:tcPr>
            <w:tcW w:w="690" w:type="pct"/>
            <w:vMerge/>
            <w:vAlign w:val="center"/>
          </w:tcPr>
          <w:p w14:paraId="44D615DC"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4116C2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72" w:type="pct"/>
            <w:shd w:val="clear" w:color="auto" w:fill="auto"/>
            <w:vAlign w:val="center"/>
          </w:tcPr>
          <w:p w14:paraId="0B6F7FE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F8A38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04AA3F9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12556C6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722D67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52F29FB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4A6D2C5B" w14:textId="77777777">
        <w:trPr>
          <w:trHeight w:val="882"/>
        </w:trPr>
        <w:tc>
          <w:tcPr>
            <w:tcW w:w="690" w:type="pct"/>
            <w:vMerge/>
            <w:vAlign w:val="center"/>
          </w:tcPr>
          <w:p w14:paraId="38B75AB9"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D2045F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72" w:type="pct"/>
            <w:shd w:val="clear" w:color="auto" w:fill="auto"/>
            <w:vAlign w:val="center"/>
          </w:tcPr>
          <w:p w14:paraId="0A282D7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265962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4E3D770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270B6DB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7C7C746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4D8A370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63F3D4EF" w14:textId="77777777">
        <w:trPr>
          <w:trHeight w:val="882"/>
        </w:trPr>
        <w:tc>
          <w:tcPr>
            <w:tcW w:w="690" w:type="pct"/>
            <w:vMerge/>
            <w:vAlign w:val="center"/>
          </w:tcPr>
          <w:p w14:paraId="594B76B9"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3F1684F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72" w:type="pct"/>
            <w:shd w:val="clear" w:color="auto" w:fill="auto"/>
            <w:vAlign w:val="center"/>
          </w:tcPr>
          <w:p w14:paraId="5DF848A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62" w:type="pct"/>
            <w:shd w:val="clear" w:color="auto" w:fill="auto"/>
            <w:vAlign w:val="center"/>
          </w:tcPr>
          <w:p w14:paraId="1907323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42" w:type="pct"/>
            <w:shd w:val="clear" w:color="auto" w:fill="auto"/>
            <w:vAlign w:val="center"/>
          </w:tcPr>
          <w:p w14:paraId="441E26C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610" w:type="pct"/>
            <w:shd w:val="clear" w:color="auto" w:fill="auto"/>
            <w:vAlign w:val="center"/>
          </w:tcPr>
          <w:p w14:paraId="53C235A6" w14:textId="77777777" w:rsidR="00AD28EE" w:rsidRDefault="00000000">
            <w:pPr>
              <w:widowControl/>
              <w:jc w:val="center"/>
              <w:rPr>
                <w:rFonts w:ascii="宋体" w:hAnsi="宋体" w:cs="宋体" w:hint="eastAsia"/>
                <w:kern w:val="0"/>
                <w:sz w:val="20"/>
                <w:szCs w:val="20"/>
              </w:rPr>
            </w:pPr>
            <w:r>
              <w:rPr>
                <w:rFonts w:hint="eastAsia"/>
              </w:rPr>
              <w:t>-</w:t>
            </w:r>
          </w:p>
        </w:tc>
        <w:tc>
          <w:tcPr>
            <w:tcW w:w="450" w:type="pct"/>
            <w:shd w:val="clear" w:color="auto" w:fill="auto"/>
            <w:vAlign w:val="center"/>
          </w:tcPr>
          <w:p w14:paraId="5C90F23A" w14:textId="77777777" w:rsidR="00AD28EE" w:rsidRDefault="00000000">
            <w:pPr>
              <w:widowControl/>
              <w:jc w:val="center"/>
              <w:rPr>
                <w:rFonts w:ascii="宋体" w:hAnsi="宋体" w:cs="宋体" w:hint="eastAsia"/>
                <w:kern w:val="0"/>
                <w:sz w:val="20"/>
                <w:szCs w:val="20"/>
              </w:rPr>
            </w:pPr>
            <w:r>
              <w:rPr>
                <w:rFonts w:hint="eastAsia"/>
              </w:rPr>
              <w:t>-</w:t>
            </w:r>
          </w:p>
        </w:tc>
        <w:tc>
          <w:tcPr>
            <w:tcW w:w="256" w:type="pct"/>
            <w:shd w:val="clear" w:color="auto" w:fill="auto"/>
            <w:vAlign w:val="center"/>
          </w:tcPr>
          <w:p w14:paraId="3FA97B81" w14:textId="77777777" w:rsidR="00AD28EE" w:rsidRDefault="00000000">
            <w:pPr>
              <w:widowControl/>
              <w:jc w:val="center"/>
              <w:rPr>
                <w:rFonts w:ascii="宋体" w:hAnsi="宋体" w:cs="宋体" w:hint="eastAsia"/>
                <w:kern w:val="0"/>
                <w:sz w:val="20"/>
                <w:szCs w:val="20"/>
              </w:rPr>
            </w:pPr>
            <w:r>
              <w:rPr>
                <w:rFonts w:hint="eastAsia"/>
              </w:rPr>
              <w:t>-</w:t>
            </w:r>
          </w:p>
        </w:tc>
      </w:tr>
      <w:tr w:rsidR="00AD28EE" w14:paraId="5360908D" w14:textId="77777777">
        <w:trPr>
          <w:trHeight w:val="882"/>
        </w:trPr>
        <w:tc>
          <w:tcPr>
            <w:tcW w:w="690" w:type="pct"/>
            <w:vMerge/>
            <w:vAlign w:val="center"/>
          </w:tcPr>
          <w:p w14:paraId="1C3CC332"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2191DF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72" w:type="pct"/>
            <w:shd w:val="clear" w:color="auto" w:fill="auto"/>
            <w:vAlign w:val="center"/>
          </w:tcPr>
          <w:p w14:paraId="78A0886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62" w:type="pct"/>
            <w:shd w:val="clear" w:color="auto" w:fill="auto"/>
            <w:vAlign w:val="center"/>
          </w:tcPr>
          <w:p w14:paraId="419D4C7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2" w:type="pct"/>
            <w:shd w:val="clear" w:color="auto" w:fill="auto"/>
            <w:vAlign w:val="center"/>
          </w:tcPr>
          <w:p w14:paraId="4A8BD0B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10" w:type="pct"/>
            <w:shd w:val="clear" w:color="auto" w:fill="auto"/>
            <w:vAlign w:val="center"/>
          </w:tcPr>
          <w:p w14:paraId="70D3DC7E" w14:textId="77777777" w:rsidR="00AD28EE" w:rsidRDefault="00000000">
            <w:pPr>
              <w:widowControl/>
              <w:jc w:val="center"/>
              <w:rPr>
                <w:rFonts w:ascii="宋体" w:hAnsi="宋体" w:cs="宋体" w:hint="eastAsia"/>
                <w:kern w:val="0"/>
                <w:sz w:val="20"/>
                <w:szCs w:val="20"/>
              </w:rPr>
            </w:pPr>
            <w:r>
              <w:rPr>
                <w:rFonts w:hint="eastAsia"/>
              </w:rPr>
              <w:t>-</w:t>
            </w:r>
          </w:p>
        </w:tc>
        <w:tc>
          <w:tcPr>
            <w:tcW w:w="450" w:type="pct"/>
            <w:shd w:val="clear" w:color="auto" w:fill="auto"/>
            <w:vAlign w:val="center"/>
          </w:tcPr>
          <w:p w14:paraId="0ABEB4F4" w14:textId="77777777" w:rsidR="00AD28EE" w:rsidRDefault="00000000">
            <w:pPr>
              <w:widowControl/>
              <w:jc w:val="center"/>
              <w:rPr>
                <w:rFonts w:ascii="宋体" w:hAnsi="宋体" w:cs="宋体" w:hint="eastAsia"/>
                <w:kern w:val="0"/>
                <w:sz w:val="20"/>
                <w:szCs w:val="20"/>
              </w:rPr>
            </w:pPr>
            <w:r>
              <w:rPr>
                <w:rFonts w:hint="eastAsia"/>
              </w:rPr>
              <w:t>-</w:t>
            </w:r>
          </w:p>
        </w:tc>
        <w:tc>
          <w:tcPr>
            <w:tcW w:w="256" w:type="pct"/>
            <w:shd w:val="clear" w:color="auto" w:fill="auto"/>
            <w:vAlign w:val="center"/>
          </w:tcPr>
          <w:p w14:paraId="5130ACC3" w14:textId="77777777" w:rsidR="00AD28EE" w:rsidRDefault="00000000">
            <w:pPr>
              <w:widowControl/>
              <w:jc w:val="center"/>
              <w:rPr>
                <w:rFonts w:ascii="宋体" w:hAnsi="宋体" w:cs="宋体" w:hint="eastAsia"/>
                <w:kern w:val="0"/>
                <w:sz w:val="20"/>
                <w:szCs w:val="20"/>
              </w:rPr>
            </w:pPr>
            <w:r>
              <w:rPr>
                <w:rFonts w:hint="eastAsia"/>
              </w:rPr>
              <w:t>-</w:t>
            </w:r>
          </w:p>
        </w:tc>
      </w:tr>
      <w:tr w:rsidR="00AD28EE" w14:paraId="1B6C4786" w14:textId="77777777">
        <w:trPr>
          <w:trHeight w:val="882"/>
        </w:trPr>
        <w:tc>
          <w:tcPr>
            <w:tcW w:w="690" w:type="pct"/>
            <w:vMerge/>
            <w:vAlign w:val="center"/>
          </w:tcPr>
          <w:p w14:paraId="3A9657A6"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34AD60C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72" w:type="pct"/>
            <w:shd w:val="clear" w:color="auto" w:fill="auto"/>
            <w:vAlign w:val="center"/>
          </w:tcPr>
          <w:p w14:paraId="7A65CA1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94.78 </w:t>
            </w:r>
          </w:p>
        </w:tc>
        <w:tc>
          <w:tcPr>
            <w:tcW w:w="762" w:type="pct"/>
            <w:shd w:val="clear" w:color="auto" w:fill="auto"/>
            <w:vAlign w:val="center"/>
          </w:tcPr>
          <w:p w14:paraId="2E05D4F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742" w:type="pct"/>
            <w:shd w:val="clear" w:color="auto" w:fill="auto"/>
            <w:vAlign w:val="center"/>
          </w:tcPr>
          <w:p w14:paraId="30C85CC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103.77 </w:t>
            </w:r>
          </w:p>
        </w:tc>
        <w:tc>
          <w:tcPr>
            <w:tcW w:w="610" w:type="pct"/>
            <w:shd w:val="clear" w:color="auto" w:fill="auto"/>
            <w:vAlign w:val="center"/>
          </w:tcPr>
          <w:p w14:paraId="119B1B1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50" w:type="pct"/>
            <w:shd w:val="clear" w:color="auto" w:fill="auto"/>
            <w:vAlign w:val="center"/>
          </w:tcPr>
          <w:p w14:paraId="066B76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56" w:type="pct"/>
            <w:shd w:val="clear" w:color="auto" w:fill="auto"/>
            <w:vAlign w:val="center"/>
          </w:tcPr>
          <w:p w14:paraId="63B7C0C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D28EE" w14:paraId="50688CE0" w14:textId="77777777">
        <w:trPr>
          <w:trHeight w:val="705"/>
        </w:trPr>
        <w:tc>
          <w:tcPr>
            <w:tcW w:w="690" w:type="pct"/>
            <w:vMerge w:val="restart"/>
            <w:shd w:val="clear" w:color="auto" w:fill="auto"/>
            <w:vAlign w:val="center"/>
          </w:tcPr>
          <w:p w14:paraId="2400AB5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2249" w:type="pct"/>
            <w:gridSpan w:val="3"/>
            <w:shd w:val="clear" w:color="auto" w:fill="auto"/>
            <w:noWrap/>
            <w:vAlign w:val="center"/>
          </w:tcPr>
          <w:p w14:paraId="48BAAD6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59" w:type="pct"/>
            <w:gridSpan w:val="4"/>
            <w:shd w:val="clear" w:color="auto" w:fill="auto"/>
            <w:noWrap/>
            <w:vAlign w:val="center"/>
          </w:tcPr>
          <w:p w14:paraId="3C9C39F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AD28EE" w14:paraId="2C2CC5DA" w14:textId="77777777">
        <w:trPr>
          <w:trHeight w:val="1999"/>
        </w:trPr>
        <w:tc>
          <w:tcPr>
            <w:tcW w:w="690" w:type="pct"/>
            <w:vMerge/>
            <w:vAlign w:val="center"/>
          </w:tcPr>
          <w:p w14:paraId="55F1468A" w14:textId="77777777" w:rsidR="00AD28EE" w:rsidRDefault="00AD28EE">
            <w:pPr>
              <w:widowControl/>
              <w:jc w:val="left"/>
              <w:rPr>
                <w:rFonts w:ascii="宋体" w:hAnsi="宋体" w:cs="宋体" w:hint="eastAsia"/>
                <w:kern w:val="0"/>
                <w:sz w:val="20"/>
                <w:szCs w:val="20"/>
              </w:rPr>
            </w:pPr>
          </w:p>
        </w:tc>
        <w:tc>
          <w:tcPr>
            <w:tcW w:w="2249" w:type="pct"/>
            <w:gridSpan w:val="3"/>
            <w:shd w:val="clear" w:color="auto" w:fill="auto"/>
            <w:vAlign w:val="center"/>
          </w:tcPr>
          <w:p w14:paraId="242BFBD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地震监测预报工作，完成全年365天的地震监测数据分析、上报工作；开展防震减灾宣传2次，普及防震减灾知识，提高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59" w:type="pct"/>
            <w:gridSpan w:val="4"/>
            <w:shd w:val="clear" w:color="auto" w:fill="auto"/>
            <w:vAlign w:val="center"/>
          </w:tcPr>
          <w:p w14:paraId="4668590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节点，我单位已完成如下工作：完成了全年365天的地震监测数据分析、上报工作；开展防震减灾宣传2次，普及防震减灾知识，提高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rsidR="00AD28EE" w14:paraId="465B9216" w14:textId="77777777">
        <w:trPr>
          <w:trHeight w:val="582"/>
        </w:trPr>
        <w:tc>
          <w:tcPr>
            <w:tcW w:w="690" w:type="pct"/>
            <w:shd w:val="clear" w:color="auto" w:fill="auto"/>
            <w:vAlign w:val="center"/>
          </w:tcPr>
          <w:p w14:paraId="4CAF014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14" w:type="pct"/>
            <w:shd w:val="clear" w:color="auto" w:fill="auto"/>
            <w:vAlign w:val="center"/>
          </w:tcPr>
          <w:p w14:paraId="70D0EC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72" w:type="pct"/>
            <w:shd w:val="clear" w:color="auto" w:fill="auto"/>
            <w:vAlign w:val="center"/>
          </w:tcPr>
          <w:p w14:paraId="1A17EB3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762" w:type="pct"/>
            <w:shd w:val="clear" w:color="auto" w:fill="auto"/>
            <w:vAlign w:val="center"/>
          </w:tcPr>
          <w:p w14:paraId="22A7E99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742" w:type="pct"/>
            <w:shd w:val="clear" w:color="auto" w:fill="auto"/>
            <w:vAlign w:val="center"/>
          </w:tcPr>
          <w:p w14:paraId="1EB9E1D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610" w:type="pct"/>
            <w:shd w:val="clear" w:color="auto" w:fill="auto"/>
            <w:vAlign w:val="center"/>
          </w:tcPr>
          <w:p w14:paraId="5C19924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50" w:type="pct"/>
            <w:shd w:val="clear" w:color="auto" w:fill="auto"/>
            <w:vAlign w:val="center"/>
          </w:tcPr>
          <w:p w14:paraId="5C0C945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256" w:type="pct"/>
            <w:shd w:val="clear" w:color="auto" w:fill="auto"/>
            <w:vAlign w:val="center"/>
          </w:tcPr>
          <w:p w14:paraId="69A3A77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AD28EE" w14:paraId="72643C61" w14:textId="77777777">
        <w:trPr>
          <w:trHeight w:val="739"/>
        </w:trPr>
        <w:tc>
          <w:tcPr>
            <w:tcW w:w="690" w:type="pct"/>
            <w:shd w:val="clear" w:color="auto" w:fill="auto"/>
            <w:vAlign w:val="center"/>
          </w:tcPr>
          <w:p w14:paraId="42002F62"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14" w:type="pct"/>
            <w:vMerge w:val="restart"/>
            <w:shd w:val="clear" w:color="auto" w:fill="auto"/>
            <w:vAlign w:val="center"/>
          </w:tcPr>
          <w:p w14:paraId="1C2690D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2" w:type="pct"/>
            <w:shd w:val="clear" w:color="auto" w:fill="auto"/>
            <w:vAlign w:val="center"/>
          </w:tcPr>
          <w:p w14:paraId="0E8EE0C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762" w:type="pct"/>
            <w:shd w:val="clear" w:color="auto" w:fill="auto"/>
            <w:vAlign w:val="center"/>
          </w:tcPr>
          <w:p w14:paraId="1A51B18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&gt;=5人</w:t>
            </w:r>
          </w:p>
        </w:tc>
        <w:tc>
          <w:tcPr>
            <w:tcW w:w="742" w:type="pct"/>
            <w:shd w:val="clear" w:color="auto" w:fill="auto"/>
            <w:vAlign w:val="center"/>
          </w:tcPr>
          <w:p w14:paraId="4B15026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关于木垒哈萨克自治县应急管理局所属事业单位机构编制调整有关事宜的通知</w:t>
            </w:r>
          </w:p>
        </w:tc>
        <w:tc>
          <w:tcPr>
            <w:tcW w:w="610" w:type="pct"/>
            <w:shd w:val="clear" w:color="auto" w:fill="auto"/>
            <w:vAlign w:val="center"/>
          </w:tcPr>
          <w:p w14:paraId="000917C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77E1431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5人</w:t>
            </w:r>
          </w:p>
        </w:tc>
        <w:tc>
          <w:tcPr>
            <w:tcW w:w="256" w:type="pct"/>
            <w:shd w:val="clear" w:color="auto" w:fill="auto"/>
            <w:vAlign w:val="center"/>
          </w:tcPr>
          <w:p w14:paraId="17D8C75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36FBACA8" w14:textId="77777777">
        <w:trPr>
          <w:trHeight w:val="739"/>
        </w:trPr>
        <w:tc>
          <w:tcPr>
            <w:tcW w:w="690" w:type="pct"/>
            <w:vMerge w:val="restart"/>
            <w:shd w:val="clear" w:color="auto" w:fill="auto"/>
            <w:vAlign w:val="center"/>
          </w:tcPr>
          <w:p w14:paraId="0A6D450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14" w:type="pct"/>
            <w:vMerge/>
            <w:vAlign w:val="center"/>
          </w:tcPr>
          <w:p w14:paraId="1CFE1E0C"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5BD3798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每周政治、业务学习次数</w:t>
            </w:r>
          </w:p>
        </w:tc>
        <w:tc>
          <w:tcPr>
            <w:tcW w:w="762" w:type="pct"/>
            <w:shd w:val="clear" w:color="auto" w:fill="auto"/>
            <w:vAlign w:val="center"/>
          </w:tcPr>
          <w:p w14:paraId="5AEA926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&gt;=1次</w:t>
            </w:r>
          </w:p>
        </w:tc>
        <w:tc>
          <w:tcPr>
            <w:tcW w:w="742" w:type="pct"/>
            <w:shd w:val="clear" w:color="auto" w:fill="auto"/>
            <w:vAlign w:val="center"/>
          </w:tcPr>
          <w:p w14:paraId="73FF492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3A5CE1C"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2AE0CE8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1次</w:t>
            </w:r>
          </w:p>
        </w:tc>
        <w:tc>
          <w:tcPr>
            <w:tcW w:w="256" w:type="pct"/>
            <w:shd w:val="clear" w:color="auto" w:fill="auto"/>
            <w:vAlign w:val="center"/>
          </w:tcPr>
          <w:p w14:paraId="0D60006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0D715D40" w14:textId="77777777">
        <w:trPr>
          <w:trHeight w:val="739"/>
        </w:trPr>
        <w:tc>
          <w:tcPr>
            <w:tcW w:w="690" w:type="pct"/>
            <w:vMerge/>
            <w:vAlign w:val="center"/>
          </w:tcPr>
          <w:p w14:paraId="701B88F0" w14:textId="77777777" w:rsidR="00AD28EE" w:rsidRDefault="00AD28EE">
            <w:pPr>
              <w:widowControl/>
              <w:jc w:val="left"/>
              <w:rPr>
                <w:rFonts w:ascii="宋体" w:hAnsi="宋体" w:cs="宋体" w:hint="eastAsia"/>
                <w:kern w:val="0"/>
                <w:sz w:val="20"/>
                <w:szCs w:val="20"/>
              </w:rPr>
            </w:pPr>
          </w:p>
        </w:tc>
        <w:tc>
          <w:tcPr>
            <w:tcW w:w="714" w:type="pct"/>
            <w:shd w:val="clear" w:color="auto" w:fill="auto"/>
            <w:vAlign w:val="center"/>
          </w:tcPr>
          <w:p w14:paraId="6B614C3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772" w:type="pct"/>
            <w:shd w:val="clear" w:color="auto" w:fill="auto"/>
            <w:vAlign w:val="center"/>
          </w:tcPr>
          <w:p w14:paraId="0EB5723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宏观观测点经费支出</w:t>
            </w:r>
          </w:p>
        </w:tc>
        <w:tc>
          <w:tcPr>
            <w:tcW w:w="762" w:type="pct"/>
            <w:shd w:val="clear" w:color="auto" w:fill="auto"/>
            <w:vAlign w:val="center"/>
          </w:tcPr>
          <w:p w14:paraId="61EA425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&lt;=1.20万元</w:t>
            </w:r>
          </w:p>
        </w:tc>
        <w:tc>
          <w:tcPr>
            <w:tcW w:w="742" w:type="pct"/>
            <w:shd w:val="clear" w:color="auto" w:fill="auto"/>
            <w:vAlign w:val="center"/>
          </w:tcPr>
          <w:p w14:paraId="72FF4E6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476FC6F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450" w:type="pct"/>
            <w:shd w:val="clear" w:color="auto" w:fill="auto"/>
            <w:vAlign w:val="center"/>
          </w:tcPr>
          <w:p w14:paraId="2630F42F"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1.2万元</w:t>
            </w:r>
          </w:p>
        </w:tc>
        <w:tc>
          <w:tcPr>
            <w:tcW w:w="256" w:type="pct"/>
            <w:shd w:val="clear" w:color="auto" w:fill="auto"/>
            <w:vAlign w:val="center"/>
          </w:tcPr>
          <w:p w14:paraId="3F146B9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AD28EE" w14:paraId="6B889F69" w14:textId="77777777">
        <w:trPr>
          <w:trHeight w:val="739"/>
        </w:trPr>
        <w:tc>
          <w:tcPr>
            <w:tcW w:w="690" w:type="pct"/>
            <w:vMerge w:val="restart"/>
            <w:shd w:val="clear" w:color="auto" w:fill="auto"/>
            <w:vAlign w:val="center"/>
          </w:tcPr>
          <w:p w14:paraId="5113135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14" w:type="pct"/>
            <w:vMerge w:val="restart"/>
            <w:shd w:val="clear" w:color="auto" w:fill="auto"/>
            <w:vAlign w:val="center"/>
          </w:tcPr>
          <w:p w14:paraId="63DA38E3"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72" w:type="pct"/>
            <w:shd w:val="clear" w:color="auto" w:fill="auto"/>
            <w:vAlign w:val="center"/>
          </w:tcPr>
          <w:p w14:paraId="45C54A76"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全年地震监测天数</w:t>
            </w:r>
          </w:p>
        </w:tc>
        <w:tc>
          <w:tcPr>
            <w:tcW w:w="762" w:type="pct"/>
            <w:shd w:val="clear" w:color="auto" w:fill="auto"/>
            <w:vAlign w:val="center"/>
          </w:tcPr>
          <w:p w14:paraId="3CC65D38"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742" w:type="pct"/>
            <w:shd w:val="clear" w:color="auto" w:fill="auto"/>
            <w:vAlign w:val="center"/>
          </w:tcPr>
          <w:p w14:paraId="20F30AB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6EE81A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26F154A4"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365天</w:t>
            </w:r>
          </w:p>
        </w:tc>
        <w:tc>
          <w:tcPr>
            <w:tcW w:w="256" w:type="pct"/>
            <w:shd w:val="clear" w:color="auto" w:fill="auto"/>
            <w:vAlign w:val="center"/>
          </w:tcPr>
          <w:p w14:paraId="1348D10D"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76BD1B25" w14:textId="77777777">
        <w:trPr>
          <w:trHeight w:val="739"/>
        </w:trPr>
        <w:tc>
          <w:tcPr>
            <w:tcW w:w="690" w:type="pct"/>
            <w:vMerge/>
            <w:vAlign w:val="center"/>
          </w:tcPr>
          <w:p w14:paraId="7358681E"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19F332C"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737AE497"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每日数据上报次数</w:t>
            </w:r>
          </w:p>
        </w:tc>
        <w:tc>
          <w:tcPr>
            <w:tcW w:w="762" w:type="pct"/>
            <w:shd w:val="clear" w:color="auto" w:fill="auto"/>
            <w:vAlign w:val="center"/>
          </w:tcPr>
          <w:p w14:paraId="4CA06B3E"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742" w:type="pct"/>
            <w:shd w:val="clear" w:color="auto" w:fill="auto"/>
            <w:vAlign w:val="center"/>
          </w:tcPr>
          <w:p w14:paraId="413F0310"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296558F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3013325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256" w:type="pct"/>
            <w:shd w:val="clear" w:color="auto" w:fill="auto"/>
            <w:vAlign w:val="center"/>
          </w:tcPr>
          <w:p w14:paraId="6B7EB3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57C29052" w14:textId="77777777">
        <w:trPr>
          <w:trHeight w:val="739"/>
        </w:trPr>
        <w:tc>
          <w:tcPr>
            <w:tcW w:w="690" w:type="pct"/>
            <w:vMerge/>
            <w:vAlign w:val="center"/>
          </w:tcPr>
          <w:p w14:paraId="4FC7528D"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CB6CBA8" w14:textId="77777777" w:rsidR="00AD28EE" w:rsidRDefault="00AD28EE">
            <w:pPr>
              <w:widowControl/>
              <w:jc w:val="left"/>
              <w:rPr>
                <w:rFonts w:ascii="宋体" w:hAnsi="宋体" w:cs="宋体" w:hint="eastAsia"/>
                <w:kern w:val="0"/>
                <w:sz w:val="20"/>
                <w:szCs w:val="20"/>
              </w:rPr>
            </w:pPr>
          </w:p>
        </w:tc>
        <w:tc>
          <w:tcPr>
            <w:tcW w:w="772" w:type="pct"/>
            <w:shd w:val="clear" w:color="auto" w:fill="auto"/>
            <w:vAlign w:val="center"/>
          </w:tcPr>
          <w:p w14:paraId="7BAFBD1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宏观观测点个数</w:t>
            </w:r>
          </w:p>
        </w:tc>
        <w:tc>
          <w:tcPr>
            <w:tcW w:w="762" w:type="pct"/>
            <w:shd w:val="clear" w:color="auto" w:fill="auto"/>
            <w:vAlign w:val="center"/>
          </w:tcPr>
          <w:p w14:paraId="1FF67CD1"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&gt;=5个</w:t>
            </w:r>
          </w:p>
        </w:tc>
        <w:tc>
          <w:tcPr>
            <w:tcW w:w="742" w:type="pct"/>
            <w:shd w:val="clear" w:color="auto" w:fill="auto"/>
            <w:vAlign w:val="center"/>
          </w:tcPr>
          <w:p w14:paraId="4E1F26D5"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vAlign w:val="center"/>
          </w:tcPr>
          <w:p w14:paraId="1C21891B"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450" w:type="pct"/>
            <w:shd w:val="clear" w:color="auto" w:fill="auto"/>
            <w:vAlign w:val="center"/>
          </w:tcPr>
          <w:p w14:paraId="4D958E79"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5个</w:t>
            </w:r>
          </w:p>
        </w:tc>
        <w:tc>
          <w:tcPr>
            <w:tcW w:w="256" w:type="pct"/>
            <w:shd w:val="clear" w:color="auto" w:fill="auto"/>
            <w:vAlign w:val="center"/>
          </w:tcPr>
          <w:p w14:paraId="7D87A49A" w14:textId="77777777" w:rsidR="00AD28EE"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AD28EE" w14:paraId="757AC5B7" w14:textId="77777777">
        <w:trPr>
          <w:trHeight w:val="739"/>
        </w:trPr>
        <w:tc>
          <w:tcPr>
            <w:tcW w:w="690" w:type="pct"/>
            <w:vMerge/>
            <w:vAlign w:val="center"/>
          </w:tcPr>
          <w:p w14:paraId="5E2774AD" w14:textId="77777777" w:rsidR="00AD28EE" w:rsidRDefault="00AD28EE">
            <w:pPr>
              <w:widowControl/>
              <w:jc w:val="left"/>
              <w:rPr>
                <w:rFonts w:ascii="宋体" w:hAnsi="宋体" w:cs="宋体" w:hint="eastAsia"/>
                <w:kern w:val="0"/>
                <w:sz w:val="20"/>
                <w:szCs w:val="20"/>
              </w:rPr>
            </w:pPr>
          </w:p>
        </w:tc>
        <w:tc>
          <w:tcPr>
            <w:tcW w:w="714" w:type="pct"/>
            <w:vMerge/>
            <w:vAlign w:val="center"/>
          </w:tcPr>
          <w:p w14:paraId="2AB3F75A" w14:textId="77777777" w:rsidR="00AD28EE" w:rsidRDefault="00AD28EE">
            <w:pPr>
              <w:widowControl/>
              <w:jc w:val="left"/>
              <w:rPr>
                <w:rFonts w:ascii="宋体" w:hAnsi="宋体" w:cs="宋体" w:hint="eastAsia"/>
                <w:kern w:val="0"/>
                <w:sz w:val="20"/>
                <w:szCs w:val="20"/>
              </w:rPr>
            </w:pPr>
          </w:p>
        </w:tc>
        <w:tc>
          <w:tcPr>
            <w:tcW w:w="772" w:type="pct"/>
            <w:shd w:val="clear" w:color="auto" w:fill="auto"/>
            <w:noWrap/>
            <w:vAlign w:val="center"/>
          </w:tcPr>
          <w:p w14:paraId="5524FDC1"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防震减灾宣传次数</w:t>
            </w:r>
          </w:p>
        </w:tc>
        <w:tc>
          <w:tcPr>
            <w:tcW w:w="762" w:type="pct"/>
            <w:shd w:val="clear" w:color="auto" w:fill="auto"/>
            <w:noWrap/>
            <w:vAlign w:val="center"/>
          </w:tcPr>
          <w:p w14:paraId="0727A896"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&gt;=2次</w:t>
            </w:r>
          </w:p>
        </w:tc>
        <w:tc>
          <w:tcPr>
            <w:tcW w:w="742" w:type="pct"/>
            <w:shd w:val="clear" w:color="auto" w:fill="auto"/>
            <w:noWrap/>
            <w:vAlign w:val="center"/>
          </w:tcPr>
          <w:p w14:paraId="177B434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6ED1E5B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0567A52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2次</w:t>
            </w:r>
          </w:p>
        </w:tc>
        <w:tc>
          <w:tcPr>
            <w:tcW w:w="256" w:type="pct"/>
            <w:shd w:val="clear" w:color="auto" w:fill="auto"/>
            <w:noWrap/>
            <w:vAlign w:val="center"/>
          </w:tcPr>
          <w:p w14:paraId="7436CD9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AD28EE" w14:paraId="418D8FF6" w14:textId="77777777">
        <w:trPr>
          <w:trHeight w:val="739"/>
        </w:trPr>
        <w:tc>
          <w:tcPr>
            <w:tcW w:w="690" w:type="pct"/>
            <w:vMerge/>
            <w:vAlign w:val="center"/>
          </w:tcPr>
          <w:p w14:paraId="01FFFAFD" w14:textId="77777777" w:rsidR="00AD28EE" w:rsidRDefault="00AD28EE">
            <w:pPr>
              <w:widowControl/>
              <w:jc w:val="left"/>
              <w:rPr>
                <w:rFonts w:ascii="宋体" w:hAnsi="宋体" w:cs="宋体" w:hint="eastAsia"/>
                <w:kern w:val="0"/>
                <w:sz w:val="20"/>
                <w:szCs w:val="20"/>
              </w:rPr>
            </w:pPr>
          </w:p>
        </w:tc>
        <w:tc>
          <w:tcPr>
            <w:tcW w:w="714" w:type="pct"/>
            <w:vMerge w:val="restart"/>
            <w:shd w:val="clear" w:color="auto" w:fill="auto"/>
            <w:noWrap/>
            <w:vAlign w:val="center"/>
          </w:tcPr>
          <w:p w14:paraId="544C78FA"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72" w:type="pct"/>
            <w:shd w:val="clear" w:color="auto" w:fill="auto"/>
            <w:noWrap/>
            <w:vAlign w:val="center"/>
          </w:tcPr>
          <w:p w14:paraId="14C9EA1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宏观观测员培训率</w:t>
            </w:r>
          </w:p>
        </w:tc>
        <w:tc>
          <w:tcPr>
            <w:tcW w:w="762" w:type="pct"/>
            <w:shd w:val="clear" w:color="auto" w:fill="auto"/>
            <w:noWrap/>
            <w:vAlign w:val="center"/>
          </w:tcPr>
          <w:p w14:paraId="2126219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742" w:type="pct"/>
            <w:shd w:val="clear" w:color="auto" w:fill="auto"/>
            <w:noWrap/>
            <w:vAlign w:val="center"/>
          </w:tcPr>
          <w:p w14:paraId="4EE452C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2848BF30"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09DB69E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256" w:type="pct"/>
            <w:shd w:val="clear" w:color="auto" w:fill="auto"/>
            <w:noWrap/>
            <w:vAlign w:val="center"/>
          </w:tcPr>
          <w:p w14:paraId="417BB2F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AD28EE" w14:paraId="66BC6C5D" w14:textId="77777777">
        <w:trPr>
          <w:trHeight w:val="739"/>
        </w:trPr>
        <w:tc>
          <w:tcPr>
            <w:tcW w:w="690" w:type="pct"/>
            <w:vMerge/>
            <w:vAlign w:val="center"/>
          </w:tcPr>
          <w:p w14:paraId="6ED8AF39" w14:textId="77777777" w:rsidR="00AD28EE" w:rsidRDefault="00AD28EE">
            <w:pPr>
              <w:widowControl/>
              <w:jc w:val="left"/>
              <w:rPr>
                <w:rFonts w:ascii="宋体" w:hAnsi="宋体" w:cs="宋体" w:hint="eastAsia"/>
                <w:kern w:val="0"/>
                <w:sz w:val="20"/>
                <w:szCs w:val="20"/>
              </w:rPr>
            </w:pPr>
          </w:p>
        </w:tc>
        <w:tc>
          <w:tcPr>
            <w:tcW w:w="714" w:type="pct"/>
            <w:vMerge/>
            <w:vAlign w:val="center"/>
          </w:tcPr>
          <w:p w14:paraId="09C71C44" w14:textId="77777777" w:rsidR="00AD28EE" w:rsidRDefault="00AD28EE">
            <w:pPr>
              <w:widowControl/>
              <w:jc w:val="left"/>
              <w:rPr>
                <w:rFonts w:ascii="宋体" w:hAnsi="宋体" w:cs="宋体" w:hint="eastAsia"/>
                <w:kern w:val="0"/>
                <w:sz w:val="20"/>
                <w:szCs w:val="20"/>
              </w:rPr>
            </w:pPr>
          </w:p>
        </w:tc>
        <w:tc>
          <w:tcPr>
            <w:tcW w:w="772" w:type="pct"/>
            <w:shd w:val="clear" w:color="auto" w:fill="auto"/>
            <w:noWrap/>
            <w:vAlign w:val="center"/>
          </w:tcPr>
          <w:p w14:paraId="3694083D" w14:textId="56E681BA"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宏观数据上报率</w:t>
            </w:r>
          </w:p>
        </w:tc>
        <w:tc>
          <w:tcPr>
            <w:tcW w:w="762" w:type="pct"/>
            <w:shd w:val="clear" w:color="auto" w:fill="auto"/>
            <w:noWrap/>
            <w:vAlign w:val="center"/>
          </w:tcPr>
          <w:p w14:paraId="680CD41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&gt;=100%</w:t>
            </w:r>
          </w:p>
        </w:tc>
        <w:tc>
          <w:tcPr>
            <w:tcW w:w="742" w:type="pct"/>
            <w:shd w:val="clear" w:color="auto" w:fill="auto"/>
            <w:noWrap/>
            <w:vAlign w:val="center"/>
          </w:tcPr>
          <w:p w14:paraId="4F315E95"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3406470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50" w:type="pct"/>
            <w:shd w:val="clear" w:color="auto" w:fill="auto"/>
            <w:noWrap/>
            <w:vAlign w:val="center"/>
          </w:tcPr>
          <w:p w14:paraId="6FDED92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noWrap/>
            <w:vAlign w:val="center"/>
          </w:tcPr>
          <w:p w14:paraId="533D038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AD28EE" w14:paraId="48D43A3F" w14:textId="77777777">
        <w:trPr>
          <w:trHeight w:val="739"/>
        </w:trPr>
        <w:tc>
          <w:tcPr>
            <w:tcW w:w="690" w:type="pct"/>
            <w:vMerge/>
            <w:vAlign w:val="center"/>
          </w:tcPr>
          <w:p w14:paraId="65961954" w14:textId="77777777" w:rsidR="00AD28EE" w:rsidRDefault="00AD28EE">
            <w:pPr>
              <w:widowControl/>
              <w:jc w:val="left"/>
              <w:rPr>
                <w:rFonts w:ascii="宋体" w:hAnsi="宋体" w:cs="宋体" w:hint="eastAsia"/>
                <w:kern w:val="0"/>
                <w:sz w:val="20"/>
                <w:szCs w:val="20"/>
              </w:rPr>
            </w:pPr>
          </w:p>
        </w:tc>
        <w:tc>
          <w:tcPr>
            <w:tcW w:w="714" w:type="pct"/>
            <w:shd w:val="clear" w:color="auto" w:fill="auto"/>
            <w:noWrap/>
            <w:vAlign w:val="center"/>
          </w:tcPr>
          <w:p w14:paraId="4A569AC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772" w:type="pct"/>
            <w:shd w:val="clear" w:color="auto" w:fill="auto"/>
            <w:noWrap/>
            <w:vAlign w:val="center"/>
          </w:tcPr>
          <w:p w14:paraId="777CE0B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地震、宏观监测数据上报及时率</w:t>
            </w:r>
          </w:p>
        </w:tc>
        <w:tc>
          <w:tcPr>
            <w:tcW w:w="762" w:type="pct"/>
            <w:shd w:val="clear" w:color="auto" w:fill="auto"/>
            <w:noWrap/>
            <w:vAlign w:val="center"/>
          </w:tcPr>
          <w:p w14:paraId="0CC6BD0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742" w:type="pct"/>
            <w:shd w:val="clear" w:color="auto" w:fill="auto"/>
            <w:noWrap/>
            <w:vAlign w:val="center"/>
          </w:tcPr>
          <w:p w14:paraId="3F4F887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木垒县地震台2023年工作计划</w:t>
            </w:r>
          </w:p>
        </w:tc>
        <w:tc>
          <w:tcPr>
            <w:tcW w:w="610" w:type="pct"/>
            <w:shd w:val="clear" w:color="auto" w:fill="auto"/>
            <w:noWrap/>
            <w:vAlign w:val="center"/>
          </w:tcPr>
          <w:p w14:paraId="69324664"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50" w:type="pct"/>
            <w:shd w:val="clear" w:color="auto" w:fill="auto"/>
            <w:noWrap/>
            <w:vAlign w:val="center"/>
          </w:tcPr>
          <w:p w14:paraId="48C3676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256" w:type="pct"/>
            <w:shd w:val="clear" w:color="auto" w:fill="auto"/>
            <w:noWrap/>
            <w:vAlign w:val="center"/>
          </w:tcPr>
          <w:p w14:paraId="0B61FA8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AD28EE" w14:paraId="542EF9AE" w14:textId="77777777">
        <w:trPr>
          <w:trHeight w:val="739"/>
        </w:trPr>
        <w:tc>
          <w:tcPr>
            <w:tcW w:w="690" w:type="pct"/>
            <w:shd w:val="clear" w:color="auto" w:fill="auto"/>
            <w:noWrap/>
            <w:vAlign w:val="center"/>
          </w:tcPr>
          <w:p w14:paraId="10CB67B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14" w:type="pct"/>
            <w:shd w:val="clear" w:color="auto" w:fill="auto"/>
            <w:noWrap/>
            <w:vAlign w:val="center"/>
          </w:tcPr>
          <w:p w14:paraId="6657AA3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4C2A7AD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14B7690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5B4583CA"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14DDD07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1C928D1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3D3C7A5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AD28EE" w14:paraId="5574FE70" w14:textId="77777777">
        <w:trPr>
          <w:trHeight w:val="739"/>
        </w:trPr>
        <w:tc>
          <w:tcPr>
            <w:tcW w:w="690" w:type="pct"/>
            <w:shd w:val="clear" w:color="auto" w:fill="auto"/>
            <w:noWrap/>
            <w:vAlign w:val="center"/>
          </w:tcPr>
          <w:p w14:paraId="292D756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14" w:type="pct"/>
            <w:shd w:val="clear" w:color="auto" w:fill="auto"/>
            <w:noWrap/>
            <w:vAlign w:val="center"/>
          </w:tcPr>
          <w:p w14:paraId="4FFCFD0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3783D9D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584A222B"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2F0DA383"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3946B4E7"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6896D35D"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7D3781A1"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AD28EE" w14:paraId="722D45A7" w14:textId="77777777">
        <w:trPr>
          <w:trHeight w:val="739"/>
        </w:trPr>
        <w:tc>
          <w:tcPr>
            <w:tcW w:w="690" w:type="pct"/>
            <w:shd w:val="clear" w:color="auto" w:fill="auto"/>
            <w:noWrap/>
            <w:vAlign w:val="center"/>
          </w:tcPr>
          <w:p w14:paraId="0451FFC2"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14" w:type="pct"/>
            <w:shd w:val="clear" w:color="auto" w:fill="auto"/>
            <w:noWrap/>
            <w:vAlign w:val="center"/>
          </w:tcPr>
          <w:p w14:paraId="58CD6C9F"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72" w:type="pct"/>
            <w:shd w:val="clear" w:color="auto" w:fill="auto"/>
            <w:noWrap/>
            <w:vAlign w:val="center"/>
          </w:tcPr>
          <w:p w14:paraId="5BCD03F9"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62" w:type="pct"/>
            <w:shd w:val="clear" w:color="auto" w:fill="auto"/>
            <w:noWrap/>
            <w:vAlign w:val="center"/>
          </w:tcPr>
          <w:p w14:paraId="631E5D18"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42" w:type="pct"/>
            <w:shd w:val="clear" w:color="auto" w:fill="auto"/>
            <w:noWrap/>
            <w:vAlign w:val="center"/>
          </w:tcPr>
          <w:p w14:paraId="1EE6424E"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0" w:type="pct"/>
            <w:shd w:val="clear" w:color="auto" w:fill="auto"/>
            <w:noWrap/>
            <w:vAlign w:val="center"/>
          </w:tcPr>
          <w:p w14:paraId="028A62FC"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50" w:type="pct"/>
            <w:shd w:val="clear" w:color="auto" w:fill="auto"/>
            <w:noWrap/>
            <w:vAlign w:val="center"/>
          </w:tcPr>
          <w:p w14:paraId="12041D50"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56" w:type="pct"/>
            <w:shd w:val="clear" w:color="auto" w:fill="auto"/>
            <w:noWrap/>
            <w:vAlign w:val="center"/>
          </w:tcPr>
          <w:p w14:paraId="42E54FA5" w14:textId="77777777" w:rsidR="00AD28E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DD61A44" w14:textId="77777777" w:rsidR="00AD28EE" w:rsidRDefault="00AD28EE">
      <w:pPr>
        <w:ind w:firstLineChars="200" w:firstLine="640"/>
        <w:jc w:val="left"/>
        <w:rPr>
          <w:rFonts w:ascii="仿宋_GB2312" w:eastAsia="仿宋_GB2312"/>
          <w:sz w:val="32"/>
          <w:szCs w:val="32"/>
        </w:rPr>
      </w:pPr>
    </w:p>
    <w:p w14:paraId="29BA939F" w14:textId="77777777" w:rsidR="00AD28E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5BE0A55" w14:textId="77777777" w:rsidR="00AD28EE"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69F5B56" w14:textId="77777777" w:rsidR="00AD28EE"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A7FC0D7"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15E6B4"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D403EC3"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4B4A198"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A82DA5"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EEBDC39"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96C42E8"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94FB411"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BBDEB3"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5B296E" w14:textId="77777777" w:rsidR="00AD28E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75147D7"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3DC5B8"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0D6E9AD" w14:textId="77777777" w:rsidR="00AD28E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CF76C6" w14:textId="77777777" w:rsidR="00AD28E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0C7D8B" w14:textId="77777777" w:rsidR="00AD28E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B3921D3" w14:textId="77777777" w:rsidR="00AD28E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9D37DCF" w14:textId="77777777" w:rsidR="00AD28E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18E4618" w14:textId="77777777" w:rsidR="00AD28E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A23BCAB" w14:textId="77777777" w:rsidR="00AD28E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809BD91" w14:textId="77777777" w:rsidR="00AD28EE"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8BA59FE" w14:textId="77777777" w:rsidR="00AD28E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701B117B" w14:textId="77777777" w:rsidR="00AD28E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97A7BF7" w14:textId="77777777" w:rsidR="00AD28EE"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AF29C4E" w14:textId="77777777" w:rsidR="00AD28E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863338D" w14:textId="77777777" w:rsidR="00AD28EE" w:rsidRDefault="00AD28EE">
      <w:pPr>
        <w:ind w:firstLineChars="200" w:firstLine="640"/>
        <w:rPr>
          <w:rFonts w:ascii="仿宋_GB2312" w:eastAsia="仿宋_GB2312"/>
          <w:sz w:val="32"/>
          <w:szCs w:val="32"/>
        </w:rPr>
      </w:pPr>
    </w:p>
    <w:p w14:paraId="70BD928B" w14:textId="77777777" w:rsidR="00AD28EE" w:rsidRDefault="00AD28EE">
      <w:pPr>
        <w:ind w:firstLineChars="200" w:firstLine="640"/>
        <w:outlineLvl w:val="1"/>
        <w:rPr>
          <w:rFonts w:ascii="黑体" w:eastAsia="黑体" w:hAnsi="黑体" w:cs="宋体" w:hint="eastAsia"/>
          <w:bCs/>
          <w:kern w:val="0"/>
          <w:sz w:val="32"/>
          <w:szCs w:val="32"/>
        </w:rPr>
      </w:pPr>
    </w:p>
    <w:sectPr w:rsidR="00AD28E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7D647" w14:textId="77777777" w:rsidR="00B63399" w:rsidRDefault="00B63399">
      <w:r>
        <w:separator/>
      </w:r>
    </w:p>
  </w:endnote>
  <w:endnote w:type="continuationSeparator" w:id="0">
    <w:p w14:paraId="19B44533" w14:textId="77777777" w:rsidR="00B63399" w:rsidRDefault="00B6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D1C5A" w14:textId="77777777" w:rsidR="00AD28EE" w:rsidRDefault="00000000">
    <w:pPr>
      <w:pStyle w:val="a4"/>
    </w:pPr>
    <w:r>
      <w:rPr>
        <w:noProof/>
      </w:rPr>
      <mc:AlternateContent>
        <mc:Choice Requires="wps">
          <w:drawing>
            <wp:anchor distT="0" distB="0" distL="114300" distR="114300" simplePos="0" relativeHeight="251659264" behindDoc="0" locked="0" layoutInCell="1" allowOverlap="1" wp14:anchorId="1E5A5F56" wp14:editId="0C08286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2E02B" w14:textId="77777777" w:rsidR="00AD28E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E5A5F5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002E02B" w14:textId="77777777" w:rsidR="00AD28E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59805" w14:textId="77777777" w:rsidR="00B63399" w:rsidRDefault="00B63399">
      <w:r>
        <w:separator/>
      </w:r>
    </w:p>
  </w:footnote>
  <w:footnote w:type="continuationSeparator" w:id="0">
    <w:p w14:paraId="41C53E96" w14:textId="77777777" w:rsidR="00B63399" w:rsidRDefault="00B63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9204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15E6F"/>
    <w:rsid w:val="00213C59"/>
    <w:rsid w:val="00280690"/>
    <w:rsid w:val="003210CE"/>
    <w:rsid w:val="0045190D"/>
    <w:rsid w:val="00475D48"/>
    <w:rsid w:val="00645902"/>
    <w:rsid w:val="007D0A82"/>
    <w:rsid w:val="008555D9"/>
    <w:rsid w:val="00A14B2B"/>
    <w:rsid w:val="00A15E6F"/>
    <w:rsid w:val="00A364A0"/>
    <w:rsid w:val="00AB3E9F"/>
    <w:rsid w:val="00AD28EE"/>
    <w:rsid w:val="00B63399"/>
    <w:rsid w:val="00B70D59"/>
    <w:rsid w:val="00B8785B"/>
    <w:rsid w:val="00C5166B"/>
    <w:rsid w:val="00D52279"/>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2A6B"/>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A1E04"/>
  <w15:docId w15:val="{0784B872-F6F0-4456-93D8-335784EC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1194</Words>
  <Characters>6810</Characters>
  <Application>Microsoft Office Word</Application>
  <DocSecurity>0</DocSecurity>
  <Lines>56</Lines>
  <Paragraphs>15</Paragraphs>
  <ScaleCrop>false</ScaleCrop>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2024-09-03T08:26:00Z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